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10" w:type="dxa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2899"/>
        <w:gridCol w:w="1108"/>
        <w:gridCol w:w="1093"/>
        <w:gridCol w:w="1095"/>
        <w:gridCol w:w="1065"/>
        <w:gridCol w:w="1307"/>
        <w:gridCol w:w="1242"/>
      </w:tblGrid>
      <w:tr>
        <w:trPr>
          <w:trHeight w:val="2126" w:hRule="atLeas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>Zespół Szkół w Rudzie Różanieckiej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>Ruda Różaniecka 180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>37-613 Ruda Różaniecka</w:t>
            </w:r>
          </w:p>
          <w:p>
            <w:pPr>
              <w:pStyle w:val="Normal"/>
              <w:tabs>
                <w:tab w:val="right" w:pos="1560" w:leader="dot"/>
              </w:tabs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ab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>Numer identyfikacyjny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 xml:space="preserve">REGON </w:t>
            </w:r>
            <w:r>
              <w:rPr>
                <w:rStyle w:val="Teksttreci2"/>
                <w:rFonts w:eastAsia="Calibri" w:eastAsiaTheme="minorHAnsi"/>
                <w:szCs w:val="24"/>
              </w:rPr>
              <w:t>651554013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BILANS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Teksttreci2Pogrubienie"/>
                <w:rFonts w:eastAsia="Calibri" w:eastAsiaTheme="minorHAnsi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 xml:space="preserve">jednostki budżetowej lub samorządowego zakładu budżetowego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Teksttreci2Pogrubienie"/>
                <w:rFonts w:eastAsia="Calibri" w:eastAsiaTheme="minorHAnsi"/>
                <w:szCs w:val="24"/>
              </w:rPr>
            </w:pPr>
            <w:r>
              <w:rPr>
                <w:rFonts w:eastAsia="Calibri" w:eastAsiaTheme="minorHAnsi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sporządzony na dzień 31.12.2018 r.</w:t>
            </w:r>
          </w:p>
        </w:tc>
        <w:tc>
          <w:tcPr>
            <w:tcW w:w="3614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220" w:hanging="0"/>
              <w:jc w:val="center"/>
              <w:rPr>
                <w:rStyle w:val="Teksttreci2"/>
                <w:rFonts w:eastAsia="Calibri" w:eastAsiaTheme="minorHAnsi"/>
                <w:szCs w:val="24"/>
              </w:rPr>
            </w:pPr>
            <w:r>
              <w:rPr>
                <w:rStyle w:val="Teksttreci2"/>
                <w:rFonts w:eastAsia="Calibri" w:eastAsiaTheme="minorHAnsi"/>
                <w:szCs w:val="24"/>
              </w:rPr>
              <w:t>Adresat</w:t>
            </w:r>
          </w:p>
          <w:p>
            <w:pPr>
              <w:pStyle w:val="Normal"/>
              <w:spacing w:lineRule="auto" w:line="240" w:before="0" w:after="0"/>
              <w:ind w:left="220" w:hanging="0"/>
              <w:jc w:val="center"/>
              <w:rPr>
                <w:rStyle w:val="Teksttreci2"/>
                <w:rFonts w:eastAsia="Calibri" w:eastAsiaTheme="minorHAnsi"/>
                <w:szCs w:val="24"/>
              </w:rPr>
            </w:pPr>
            <w:r>
              <w:rPr>
                <w:rFonts w:eastAsia="Calibri" w:eastAsiaTheme="minorHAnsi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20" w:hanging="0"/>
              <w:jc w:val="center"/>
              <w:rPr>
                <w:rStyle w:val="Teksttreci2"/>
                <w:rFonts w:eastAsia="Calibri" w:eastAsiaTheme="minorHAnsi"/>
                <w:szCs w:val="24"/>
              </w:rPr>
            </w:pPr>
            <w:r>
              <w:rPr>
                <w:rFonts w:eastAsia="Calibri" w:eastAsiaTheme="minorHAnsi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220" w:hanging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  <w:p>
            <w:pPr>
              <w:pStyle w:val="Normal"/>
              <w:tabs>
                <w:tab w:val="right" w:pos="1121" w:leader="dot"/>
              </w:tabs>
              <w:spacing w:lineRule="auto" w:line="240" w:before="0" w:after="0"/>
              <w:ind w:left="198" w:hanging="0"/>
              <w:jc w:val="center"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>Burmistrz Miasta i Gminy Narol</w:t>
              <w:tab/>
            </w:r>
          </w:p>
        </w:tc>
      </w:tr>
      <w:tr>
        <w:trPr>
          <w:trHeight w:val="92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AKTYWA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Stan na początek roku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Stan na koniec roku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PASYWA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Stan na początek roku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Stan na koniec roku</w:t>
            </w:r>
          </w:p>
        </w:tc>
      </w:tr>
      <w:tr>
        <w:trPr>
          <w:trHeight w:val="68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Aktywa trwałe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1 448 145,34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1 388 018,46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Fundusz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1 266 996,67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1 190 595,49</w:t>
            </w:r>
          </w:p>
        </w:tc>
      </w:tr>
      <w:tr>
        <w:trPr>
          <w:trHeight w:val="523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Wartości niematerialne</w:t>
              <w:br/>
              <w:t>i prawne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Fundusz jednostki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3 408 552,72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3 467 311,41</w:t>
            </w:r>
          </w:p>
        </w:tc>
      </w:tr>
      <w:tr>
        <w:trPr>
          <w:trHeight w:val="623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Rzeczowe aktywa trwałe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1 448 145,34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1 388 018,46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Wynik finansowy netto (+, –)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-2 141 556,05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-2 276 715,92</w:t>
            </w:r>
          </w:p>
        </w:tc>
      </w:tr>
      <w:tr>
        <w:trPr>
          <w:trHeight w:val="562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Środki trwałe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1 448 145,34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1 388 018,46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"/>
                <w:rFonts w:eastAsia="Calibri" w:eastAsiaTheme="minorHAnsi"/>
                <w:szCs w:val="24"/>
              </w:rPr>
              <w:t>Zysk netto (+)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570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1"/>
                <w:numId w:val="8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>Grunty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"/>
                <w:rFonts w:eastAsia="Calibri" w:eastAsiaTheme="minorHAnsi"/>
                <w:szCs w:val="24"/>
              </w:rPr>
              <w:t>Strata netto (–)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-2 141 556,05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-2 276 715,92</w:t>
            </w:r>
          </w:p>
        </w:tc>
      </w:tr>
      <w:tr>
        <w:trPr>
          <w:trHeight w:val="1392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ind w:left="567" w:hanging="522"/>
              <w:contextualSpacing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>Grunty stanowiące własność jednostki samorządu terytorialnego, przekazane w użytkowanie wieczyste innym podmiotom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397" w:hanging="352"/>
              <w:contextualSpacing/>
              <w:rPr>
                <w:rStyle w:val="Teksttreci2Pogrubienie"/>
                <w:rFonts w:eastAsia="Calibri" w:eastAsiaTheme="minorHAnsi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 xml:space="preserve">Odpisy z wyniku finansowego (nadwyżka środków obrotowych) </w:t>
            </w:r>
          </w:p>
          <w:p>
            <w:pPr>
              <w:pStyle w:val="ListParagraph"/>
              <w:spacing w:lineRule="auto" w:line="240" w:before="0" w:after="0"/>
              <w:ind w:left="397" w:hanging="0"/>
              <w:contextualSpacing/>
              <w:rPr>
                <w:rStyle w:val="Teksttreci2Pogrubienie"/>
                <w:rFonts w:eastAsia="Calibri" w:eastAsiaTheme="minorHAnsi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(–)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691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1"/>
                <w:numId w:val="8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>Budynki, lokale i obiekty inżynierii lądowej i wodnej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1 288 577,09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1 239 498,67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ind w:left="397" w:hanging="352"/>
              <w:contextualSpacing/>
              <w:rPr>
                <w:rStyle w:val="Teksttreci2Pogrubienie"/>
                <w:rFonts w:eastAsia="Calibri" w:eastAsiaTheme="minorHAnsi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 xml:space="preserve"> </w:t>
            </w:r>
            <w:r>
              <w:rPr>
                <w:rStyle w:val="Teksttreci2Pogrubienie"/>
                <w:rFonts w:eastAsia="Calibri" w:eastAsiaTheme="minorHAnsi"/>
                <w:szCs w:val="24"/>
              </w:rPr>
              <w:t>Fundusz mienia zlikwidowanych jednostek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28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1"/>
                <w:numId w:val="8"/>
              </w:numPr>
              <w:spacing w:lineRule="auto" w:line="240" w:before="0" w:after="0"/>
              <w:ind w:left="397" w:hanging="352"/>
              <w:contextualSpacing/>
              <w:rPr>
                <w:rStyle w:val="Teksttreci2"/>
                <w:rFonts w:eastAsia="Calibri" w:eastAsiaTheme="minorHAnsi"/>
                <w:szCs w:val="24"/>
              </w:rPr>
            </w:pPr>
            <w:r>
              <w:rPr>
                <w:rStyle w:val="Teksttreci2"/>
                <w:rFonts w:eastAsia="Calibri" w:eastAsiaTheme="minorHAnsi"/>
                <w:szCs w:val="24"/>
              </w:rPr>
              <w:t>Urządzenia techniczne i maszyny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4 196,80</w:t>
            </w:r>
          </w:p>
        </w:tc>
        <w:tc>
          <w:tcPr>
            <w:tcW w:w="10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3 474,40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97" w:hanging="352"/>
              <w:contextualSpacing/>
              <w:rPr>
                <w:rStyle w:val="Teksttreci2Pogrubienie"/>
                <w:rFonts w:eastAsia="Calibri" w:eastAsiaTheme="minorHAnsi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Fundusze placówek</w:t>
            </w:r>
          </w:p>
        </w:tc>
        <w:tc>
          <w:tcPr>
            <w:tcW w:w="13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35" w:hRule="exact"/>
        </w:trPr>
        <w:tc>
          <w:tcPr>
            <w:tcW w:w="2899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1"/>
                <w:numId w:val="8"/>
              </w:numPr>
              <w:spacing w:lineRule="auto" w:line="240" w:before="0" w:after="0"/>
              <w:ind w:left="397" w:hanging="352"/>
              <w:contextualSpacing/>
              <w:rPr>
                <w:rStyle w:val="Teksttreci2"/>
                <w:rFonts w:eastAsia="Calibri" w:eastAsiaTheme="minorHAnsi"/>
                <w:szCs w:val="24"/>
              </w:rPr>
            </w:pPr>
            <w:r>
              <w:rPr>
                <w:rFonts w:eastAsia="Calibri" w:eastAsiaTheme="minorHAnsi"/>
                <w:szCs w:val="24"/>
              </w:rPr>
            </w:r>
          </w:p>
        </w:tc>
        <w:tc>
          <w:tcPr>
            <w:tcW w:w="1108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97" w:hanging="352"/>
              <w:contextualSpacing/>
              <w:rPr>
                <w:rStyle w:val="Teksttreci2Pogrubienie"/>
                <w:rFonts w:eastAsia="Calibri" w:eastAsiaTheme="minorHAnsi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Państwowe fundusze celowe</w:t>
            </w:r>
          </w:p>
        </w:tc>
        <w:tc>
          <w:tcPr>
            <w:tcW w:w="1307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683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>1.4. Środki transportu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397" w:hanging="352"/>
              <w:contextualSpacing/>
              <w:rPr>
                <w:rStyle w:val="Teksttreci2Pogrubienie"/>
                <w:rFonts w:eastAsia="Calibri" w:eastAsiaTheme="minorHAnsi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Zobowiązania i rezerwy na zobowiązania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354 693,71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379 479,77</w:t>
            </w:r>
          </w:p>
        </w:tc>
      </w:tr>
      <w:tr>
        <w:trPr>
          <w:trHeight w:val="490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1"/>
                <w:numId w:val="8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szCs w:val="24"/>
              </w:rPr>
              <w:t>Inne środki trwałe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155 371,45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145 045,39 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Zobowiązania długoterminowe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68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Środki trwałe w budowie (inwestycje)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Zobowiązania krótkoterminowe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354 693,71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379 479,77</w:t>
            </w:r>
          </w:p>
        </w:tc>
      </w:tr>
      <w:tr>
        <w:trPr>
          <w:trHeight w:val="691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Zaliczki na środki trwałe w budowie (inwestycje)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Teksttreci2"/>
                <w:rFonts w:eastAsia="Calibri" w:eastAsiaTheme="minorHAnsi"/>
                <w:szCs w:val="24"/>
              </w:rPr>
              <w:t>Zobowiązania z tytułu dostaw i usług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2 701,40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1 521,05</w:t>
            </w:r>
          </w:p>
        </w:tc>
      </w:tr>
      <w:tr>
        <w:trPr>
          <w:trHeight w:val="691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 xml:space="preserve"> </w:t>
            </w:r>
            <w:r>
              <w:rPr>
                <w:rStyle w:val="Teksttreci2Pogrubienie"/>
                <w:rFonts w:eastAsia="Calibri" w:eastAsiaTheme="minorHAnsi"/>
                <w:szCs w:val="24"/>
              </w:rPr>
              <w:t>Należności długoterminowe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Style w:val="Teksttreci2"/>
                <w:rFonts w:eastAsia="Calibri" w:eastAsiaTheme="minorHAnsi"/>
                <w:szCs w:val="24"/>
              </w:rPr>
              <w:t>Zobowiązania wobec budżetów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 xml:space="preserve"> </w:t>
            </w:r>
            <w:r>
              <w:rPr>
                <w:rStyle w:val="Teksttreci2Pogrubienie"/>
                <w:rFonts w:eastAsia="Calibri" w:eastAsiaTheme="minorHAnsi"/>
                <w:szCs w:val="24"/>
              </w:rPr>
              <w:t>Długoterminowe aktywa finansowe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Style w:val="Teksttreci2"/>
                <w:rFonts w:eastAsia="Calibri" w:eastAsiaTheme="minorHAnsi"/>
                <w:szCs w:val="24"/>
              </w:rPr>
              <w:t>Zobowiązania z tytułu ubezpieczeń i innych świadczeń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93 905,80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105 243,89</w:t>
            </w:r>
          </w:p>
        </w:tc>
      </w:tr>
      <w:tr>
        <w:trPr>
          <w:trHeight w:val="583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Akcje i udziały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Style w:val="Teksttreci2"/>
                <w:rFonts w:eastAsia="Calibri" w:eastAsiaTheme="minorHAnsi"/>
                <w:szCs w:val="24"/>
              </w:rPr>
              <w:t>Zobowiązania z tytułu wynagrodzeń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107 726,33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114 708,58</w:t>
            </w:r>
          </w:p>
        </w:tc>
      </w:tr>
      <w:tr>
        <w:trPr>
          <w:trHeight w:val="563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Inne papiery wartościowe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Style w:val="Teksttreci2"/>
                <w:rFonts w:eastAsia="Calibri" w:eastAsiaTheme="minorHAnsi"/>
                <w:szCs w:val="24"/>
              </w:rPr>
              <w:t>Pozostałe zobowiązania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991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Inne długoterminowe aktywa finansowe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Style w:val="Teksttreci2"/>
                <w:rFonts w:eastAsia="Calibri" w:eastAsiaTheme="minorHAnsi"/>
                <w:szCs w:val="24"/>
              </w:rPr>
              <w:t>Sumy obce (depozytowe, zabezpieczenie wykonania umów)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1134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Wartość mienia zlikwidowanych jednostek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Style w:val="Teksttreci2"/>
                <w:rFonts w:eastAsia="Calibri" w:eastAsiaTheme="minorHAnsi"/>
                <w:szCs w:val="24"/>
              </w:rPr>
              <w:t>Rozliczenia z tytułu środków na wydatki budżetowe i z tytułu dochodów budżetowych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Aktywa obrotowe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173 545,04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182 056,80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  <w:t>Fundusze specjalne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150 360,18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158 006,25</w:t>
            </w:r>
          </w:p>
        </w:tc>
      </w:tr>
      <w:tr>
        <w:trPr>
          <w:trHeight w:val="70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Zapasy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22 216,77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24 050,55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  <w:t>Zakładowy Fundusz Świadczeń Socjalnych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150 360,18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158 006,25</w:t>
            </w:r>
          </w:p>
        </w:tc>
      </w:tr>
      <w:tr>
        <w:trPr>
          <w:trHeight w:val="70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Materiały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22 216,77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24 050,55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5"/>
              </w:numPr>
              <w:spacing w:lineRule="auto" w:line="240" w:before="0" w:after="0"/>
              <w:ind w:left="397" w:hanging="352"/>
              <w:contextualSpacing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  <w:t>Inne fundusze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Półprodukty i produkty w toku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397" w:hanging="352"/>
              <w:contextualSpacing/>
              <w:rPr>
                <w:rStyle w:val="Teksttreci2Pogrubienie"/>
                <w:rFonts w:eastAsia="Calibri" w:eastAsiaTheme="minorHAnsi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 xml:space="preserve"> </w:t>
            </w:r>
            <w:r>
              <w:rPr>
                <w:rStyle w:val="Teksttreci2Pogrubienie"/>
                <w:rFonts w:eastAsia="Calibri" w:eastAsiaTheme="minorHAnsi"/>
                <w:szCs w:val="24"/>
              </w:rPr>
              <w:t>Rezerwy na zobowiązania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Produkty gotowe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ind w:left="397" w:hanging="352"/>
              <w:contextualSpacing/>
              <w:rPr>
                <w:rStyle w:val="Teksttreci2Pogrubienie"/>
                <w:rFonts w:eastAsia="Calibri" w:eastAsiaTheme="minorHAnsi"/>
                <w:szCs w:val="24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 xml:space="preserve"> </w:t>
            </w:r>
            <w:r>
              <w:rPr>
                <w:rStyle w:val="Teksttreci2Pogrubienie"/>
                <w:rFonts w:eastAsia="Calibri" w:eastAsiaTheme="minorHAnsi"/>
                <w:szCs w:val="24"/>
              </w:rPr>
              <w:t>Rozliczenia międzyokresowe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58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Towary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Należności krótkoterminowe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36 184,12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41 040,00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568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Należności z tytułu dostaw i usług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34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Należności od budżetów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725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Należności z tytułu ubezpieczeń i innych świadczeń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393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Pozostałe należności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36 184,12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41 040,00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1014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Rozliczenia z tytułu środków na wydatki budżetowe i z tytułu dochodów budżetowych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 xml:space="preserve"> </w:t>
            </w:r>
            <w:r>
              <w:rPr>
                <w:rStyle w:val="Teksttreci2Pogrubienie"/>
                <w:rFonts w:eastAsia="Calibri" w:eastAsiaTheme="minorHAnsi"/>
                <w:szCs w:val="24"/>
              </w:rPr>
              <w:t xml:space="preserve">Krótkoterminowe </w:t>
            </w:r>
          </w:p>
          <w:p>
            <w:pPr>
              <w:pStyle w:val="ListParagraph"/>
              <w:spacing w:lineRule="auto" w:line="240" w:before="0" w:after="0"/>
              <w:ind w:left="397" w:hanging="0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 xml:space="preserve"> </w:t>
            </w:r>
            <w:r>
              <w:rPr>
                <w:rStyle w:val="Teksttreci2Pogrubienie"/>
                <w:rFonts w:eastAsia="Calibri" w:eastAsiaTheme="minorHAnsi"/>
                <w:szCs w:val="24"/>
              </w:rPr>
              <w:t>aktywa finansowe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115 144,15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116 966,25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517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Środki pieniężne w kasie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Środki pieniężne na rachunkach bankowych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115 144,15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116 966,25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847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Środki pieniężne państwowego funduszu celowego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522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Inne środki pieniężne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90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Akcje lub udziały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567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Inne papiery wartościowe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524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"/>
                <w:rFonts w:eastAsia="Calibri" w:eastAsiaTheme="minorHAnsi"/>
                <w:bCs/>
                <w:szCs w:val="24"/>
              </w:rPr>
              <w:t>Inne krótkoterminowe aktywa finansowe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ListParagraph"/>
              <w:numPr>
                <w:ilvl w:val="0"/>
                <w:numId w:val="16"/>
              </w:numPr>
              <w:spacing w:lineRule="auto" w:line="240" w:before="0" w:after="0"/>
              <w:ind w:left="397" w:hanging="352"/>
              <w:contextualSpacing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Rozliczenia międzyokresowe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Fonts w:cs="Times New Roman" w:ascii="Times New Roman" w:hAnsi="Times New Roman"/>
                <w:color w:val="231F20"/>
                <w:sz w:val="20"/>
                <w:szCs w:val="24"/>
                <w:lang w:eastAsia="pl-PL" w:bidi="pl-PL"/>
              </w:rPr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</w:tr>
      <w:tr>
        <w:trPr>
          <w:trHeight w:val="428" w:hRule="exact"/>
        </w:trPr>
        <w:tc>
          <w:tcPr>
            <w:tcW w:w="2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397" w:hanging="352"/>
              <w:rPr/>
            </w:pPr>
            <w:r>
              <w:rPr>
                <w:rStyle w:val="Teksttreci2Pogrubienie"/>
                <w:rFonts w:eastAsia="Calibri" w:eastAsiaTheme="minorHAnsi"/>
                <w:szCs w:val="24"/>
              </w:rPr>
              <w:t>Suma aktywów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1 621 690,38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1 570 075,26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103" w:hanging="0"/>
              <w:rPr>
                <w:rFonts w:ascii="Times New Roman" w:hAnsi="Times New Roman" w:cs="Times New Roman"/>
                <w:color w:val="231F20"/>
                <w:sz w:val="20"/>
                <w:szCs w:val="24"/>
                <w:lang w:eastAsia="pl-PL" w:bidi="pl-PL"/>
              </w:rPr>
            </w:pPr>
            <w:r>
              <w:rPr>
                <w:rStyle w:val="Teksttreci2Pogrubienie"/>
                <w:rFonts w:eastAsia="Calibri" w:eastAsiaTheme="minorHAnsi"/>
                <w:szCs w:val="24"/>
              </w:rPr>
              <w:t>Suma pasywów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1 621 690,38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1 570 075,26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tabs>
          <w:tab w:val="right" w:pos="2694" w:leader="dot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Style w:val="Teksttreci2"/>
          <w:rFonts w:eastAsia="Calibri" w:eastAsiaTheme="minorHAnsi"/>
          <w:szCs w:val="24"/>
        </w:rPr>
        <w:tab/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(g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4"/>
        </w:rPr>
        <w:t>łówny księgowy)</w:t>
      </w:r>
    </w:p>
    <w:p>
      <w:pPr>
        <w:pStyle w:val="Normal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tabs>
          <w:tab w:val="right" w:pos="2694" w:leader="dot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Style w:val="Teksttreci2"/>
          <w:rFonts w:eastAsia="Calibri" w:eastAsiaTheme="minorHAnsi"/>
          <w:szCs w:val="24"/>
        </w:rPr>
        <w:tab/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(rok, miesiąc, dzień)</w:t>
      </w:r>
    </w:p>
    <w:p>
      <w:pPr>
        <w:pStyle w:val="Normal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tabs>
          <w:tab w:val="right" w:pos="2694" w:leader="dot"/>
        </w:tabs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Style w:val="Teksttreci2"/>
          <w:rFonts w:eastAsia="Calibri" w:eastAsiaTheme="minorHAnsi"/>
          <w:szCs w:val="24"/>
        </w:rPr>
        <w:tab/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(kierownik jednostki)</w:t>
      </w:r>
    </w:p>
    <w:p>
      <w:pPr>
        <w:pStyle w:val="Normal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3" w:equalWidth="false" w:sep="false">
            <w:col w:w="2776" w:space="494"/>
            <w:col w:w="2529" w:space="494"/>
            <w:col w:w="2777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0" w:hanging="-284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1.1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upperRoman"/>
      <w:lvlText w:val="%1."/>
      <w:lvlJc w:val="left"/>
      <w:pPr>
        <w:ind w:left="352" w:hanging="307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upperRoman"/>
      <w:lvlText w:val="%1."/>
      <w:lvlJc w:val="left"/>
      <w:pPr>
        <w:ind w:left="720" w:hanging="36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upperRoman"/>
      <w:lvlText w:val="%1."/>
      <w:lvlJc w:val="left"/>
      <w:pPr>
        <w:ind w:left="0" w:hanging="-284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"/>
    <w:basedOn w:val="DefaultParagraphFont"/>
    <w:qFormat/>
    <w:rsid w:val="00f95930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20"/>
      <w:szCs w:val="20"/>
      <w:u w:val="none"/>
      <w:lang w:val="pl-PL" w:eastAsia="pl-PL" w:bidi="pl-PL"/>
    </w:rPr>
  </w:style>
  <w:style w:type="character" w:styleId="Teksttreci2Pogrubienie" w:customStyle="1">
    <w:name w:val="Tekst treści (2) + Pogrubienie"/>
    <w:basedOn w:val="DefaultParagraphFont"/>
    <w:qFormat/>
    <w:rsid w:val="00f95930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231F20"/>
      <w:spacing w:val="0"/>
      <w:w w:val="100"/>
      <w:sz w:val="20"/>
      <w:szCs w:val="20"/>
      <w:u w:val="none"/>
      <w:lang w:val="pl-PL" w:eastAsia="pl-PL" w:bidi="pl-PL"/>
    </w:rPr>
  </w:style>
  <w:style w:type="character" w:styleId="Teksttreci295ptKursywa" w:customStyle="1">
    <w:name w:val="Tekst treści (2) + 9;5 pt;Kursywa"/>
    <w:basedOn w:val="DefaultParagraphFont"/>
    <w:qFormat/>
    <w:rsid w:val="00f95930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231F20"/>
      <w:spacing w:val="0"/>
      <w:w w:val="100"/>
      <w:sz w:val="19"/>
      <w:szCs w:val="19"/>
      <w:u w:val="none"/>
      <w:lang w:val="pl-PL" w:eastAsia="pl-PL" w:bidi="pl-PL"/>
    </w:rPr>
  </w:style>
  <w:style w:type="character" w:styleId="Teksttreci2Calibri65ptKursywa" w:customStyle="1">
    <w:name w:val="Tekst treści (2) + Calibri;6;5 pt;Kursywa"/>
    <w:basedOn w:val="DefaultParagraphFont"/>
    <w:qFormat/>
    <w:rsid w:val="00f95930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231F20"/>
      <w:spacing w:val="0"/>
      <w:w w:val="100"/>
      <w:sz w:val="13"/>
      <w:szCs w:val="13"/>
      <w:u w:val="none"/>
      <w:lang w:val="pl-PL" w:eastAsia="pl-PL" w:bidi="pl-PL"/>
    </w:rPr>
  </w:style>
  <w:style w:type="character" w:styleId="ListLabel1">
    <w:name w:val="ListLabel 1"/>
    <w:qFormat/>
    <w:rPr>
      <w:rFonts w:ascii="Times New Roman" w:hAnsi="Times New Roman"/>
      <w:b/>
      <w:sz w:val="20"/>
    </w:rPr>
  </w:style>
  <w:style w:type="character" w:styleId="ListLabel2">
    <w:name w:val="ListLabel 2"/>
    <w:qFormat/>
    <w:rPr>
      <w:rFonts w:ascii="Times New Roman" w:hAnsi="Times New Roman"/>
      <w:b/>
      <w:sz w:val="20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ascii="Times New Roman" w:hAnsi="Times New Roman"/>
      <w:b/>
      <w:sz w:val="20"/>
    </w:rPr>
  </w:style>
  <w:style w:type="character" w:styleId="ListLabel5">
    <w:name w:val="ListLabel 5"/>
    <w:qFormat/>
    <w:rPr>
      <w:rFonts w:ascii="Times New Roman" w:hAnsi="Times New Roman"/>
      <w:b/>
      <w:sz w:val="20"/>
    </w:rPr>
  </w:style>
  <w:style w:type="character" w:styleId="ListLabel6">
    <w:name w:val="ListLabel 6"/>
    <w:qFormat/>
    <w:rPr>
      <w:rFonts w:ascii="Times New Roman" w:hAnsi="Times New Roman"/>
      <w:b/>
      <w:sz w:val="20"/>
    </w:rPr>
  </w:style>
  <w:style w:type="character" w:styleId="ListLabel7">
    <w:name w:val="ListLabel 7"/>
    <w:qFormat/>
    <w:rPr>
      <w:rFonts w:ascii="Times New Roman" w:hAnsi="Times New Roman"/>
      <w:b/>
      <w:sz w:val="20"/>
    </w:rPr>
  </w:style>
  <w:style w:type="character" w:styleId="ListLabel8">
    <w:name w:val="ListLabel 8"/>
    <w:qFormat/>
    <w:rPr>
      <w:rFonts w:ascii="Times New Roman" w:hAnsi="Times New Roman"/>
      <w:b/>
      <w:sz w:val="20"/>
    </w:rPr>
  </w:style>
  <w:style w:type="character" w:styleId="ListLabel9">
    <w:name w:val="ListLabel 9"/>
    <w:qFormat/>
    <w:rPr>
      <w:b/>
      <w:sz w:val="20"/>
    </w:rPr>
  </w:style>
  <w:style w:type="character" w:styleId="ListLabel10">
    <w:name w:val="ListLabel 10"/>
    <w:qFormat/>
    <w:rPr>
      <w:b/>
      <w:sz w:val="20"/>
    </w:rPr>
  </w:style>
  <w:style w:type="character" w:styleId="ListLabel11">
    <w:name w:val="ListLabel 11"/>
    <w:qFormat/>
    <w:rPr>
      <w:b/>
      <w:sz w:val="20"/>
    </w:rPr>
  </w:style>
  <w:style w:type="character" w:styleId="ListLabel12">
    <w:name w:val="ListLabel 12"/>
    <w:qFormat/>
    <w:rPr>
      <w:rFonts w:ascii="Times New Roman" w:hAnsi="Times New Roman"/>
      <w:b/>
      <w:sz w:val="20"/>
    </w:rPr>
  </w:style>
  <w:style w:type="character" w:styleId="ListLabel13">
    <w:name w:val="ListLabel 13"/>
    <w:qFormat/>
    <w:rPr>
      <w:rFonts w:ascii="Times New Roman" w:hAnsi="Times New Roman"/>
      <w:b/>
      <w:sz w:val="20"/>
    </w:rPr>
  </w:style>
  <w:style w:type="character" w:styleId="ListLabel14">
    <w:name w:val="ListLabel 14"/>
    <w:qFormat/>
    <w:rPr>
      <w:rFonts w:ascii="Times New Roman" w:hAnsi="Times New Roman"/>
      <w:b/>
      <w:sz w:val="20"/>
    </w:rPr>
  </w:style>
  <w:style w:type="character" w:styleId="ListLabel15">
    <w:name w:val="ListLabel 15"/>
    <w:qFormat/>
    <w:rPr>
      <w:b/>
      <w:sz w:val="20"/>
    </w:rPr>
  </w:style>
  <w:style w:type="character" w:styleId="ListLabel16">
    <w:name w:val="ListLabel 16"/>
    <w:qFormat/>
    <w:rPr>
      <w:b/>
      <w:sz w:val="20"/>
    </w:rPr>
  </w:style>
  <w:style w:type="character" w:styleId="ListLabel17">
    <w:name w:val="ListLabel 17"/>
    <w:qFormat/>
    <w:rPr>
      <w:b/>
      <w:sz w:val="20"/>
    </w:rPr>
  </w:style>
  <w:style w:type="character" w:styleId="ListLabel18">
    <w:name w:val="ListLabel 18"/>
    <w:qFormat/>
    <w:rPr>
      <w:b/>
      <w:sz w:val="20"/>
    </w:rPr>
  </w:style>
  <w:style w:type="character" w:styleId="ListLabel19">
    <w:name w:val="ListLabel 19"/>
    <w:qFormat/>
    <w:rPr>
      <w:rFonts w:ascii="Times New Roman" w:hAnsi="Times New Roman"/>
      <w:b/>
      <w:sz w:val="20"/>
    </w:rPr>
  </w:style>
  <w:style w:type="character" w:styleId="ListLabel20">
    <w:name w:val="ListLabel 20"/>
    <w:qFormat/>
    <w:rPr>
      <w:rFonts w:ascii="Times New Roman" w:hAnsi="Times New Roman"/>
      <w:b/>
      <w:sz w:val="20"/>
    </w:rPr>
  </w:style>
  <w:style w:type="character" w:styleId="ListLabel21">
    <w:name w:val="ListLabel 21"/>
    <w:qFormat/>
    <w:rPr>
      <w:rFonts w:ascii="Times New Roman" w:hAnsi="Times New Roman"/>
      <w:b/>
      <w:sz w:val="20"/>
    </w:rPr>
  </w:style>
  <w:style w:type="character" w:styleId="ListLabel22">
    <w:name w:val="ListLabel 22"/>
    <w:qFormat/>
    <w:rPr>
      <w:b/>
      <w:sz w:val="20"/>
    </w:rPr>
  </w:style>
  <w:style w:type="character" w:styleId="ListLabel23">
    <w:name w:val="ListLabel 23"/>
    <w:qFormat/>
    <w:rPr>
      <w:b/>
      <w:sz w:val="20"/>
    </w:rPr>
  </w:style>
  <w:style w:type="character" w:styleId="ListLabel24">
    <w:name w:val="ListLabel 24"/>
    <w:qFormat/>
    <w:rPr>
      <w:b/>
      <w:sz w:val="20"/>
    </w:rPr>
  </w:style>
  <w:style w:type="character" w:styleId="ListLabel25">
    <w:name w:val="ListLabel 25"/>
    <w:qFormat/>
    <w:rPr>
      <w:b/>
      <w:sz w:val="20"/>
    </w:rPr>
  </w:style>
  <w:style w:type="character" w:styleId="ListLabel26">
    <w:name w:val="ListLabel 26"/>
    <w:qFormat/>
    <w:rPr>
      <w:rFonts w:ascii="Times New Roman" w:hAnsi="Times New Roman"/>
      <w:b/>
      <w:sz w:val="20"/>
    </w:rPr>
  </w:style>
  <w:style w:type="character" w:styleId="ListLabel27">
    <w:name w:val="ListLabel 27"/>
    <w:qFormat/>
    <w:rPr>
      <w:rFonts w:ascii="Times New Roman" w:hAnsi="Times New Roman"/>
      <w:b/>
      <w:sz w:val="20"/>
    </w:rPr>
  </w:style>
  <w:style w:type="character" w:styleId="ListLabel28">
    <w:name w:val="ListLabel 28"/>
    <w:qFormat/>
    <w:rPr>
      <w:rFonts w:ascii="Times New Roman" w:hAnsi="Times New Roman"/>
      <w:b/>
      <w:sz w:val="20"/>
    </w:rPr>
  </w:style>
  <w:style w:type="character" w:styleId="ListLabel29">
    <w:name w:val="ListLabel 29"/>
    <w:qFormat/>
    <w:rPr>
      <w:b/>
      <w:sz w:val="20"/>
    </w:rPr>
  </w:style>
  <w:style w:type="character" w:styleId="ListLabel30">
    <w:name w:val="ListLabel 30"/>
    <w:qFormat/>
    <w:rPr>
      <w:b/>
      <w:sz w:val="20"/>
    </w:rPr>
  </w:style>
  <w:style w:type="character" w:styleId="ListLabel31">
    <w:name w:val="ListLabel 31"/>
    <w:qFormat/>
    <w:rPr>
      <w:b/>
      <w:sz w:val="20"/>
    </w:rPr>
  </w:style>
  <w:style w:type="character" w:styleId="ListLabel32">
    <w:name w:val="ListLabel 32"/>
    <w:qFormat/>
    <w:rPr>
      <w:b/>
      <w:sz w:val="20"/>
    </w:rPr>
  </w:style>
  <w:style w:type="character" w:styleId="ListLabel33">
    <w:name w:val="ListLabel 33"/>
    <w:qFormat/>
    <w:rPr>
      <w:rFonts w:ascii="Times New Roman" w:hAnsi="Times New Roman"/>
      <w:b/>
      <w:sz w:val="20"/>
    </w:rPr>
  </w:style>
  <w:style w:type="character" w:styleId="ListLabel34">
    <w:name w:val="ListLabel 34"/>
    <w:qFormat/>
    <w:rPr>
      <w:rFonts w:ascii="Times New Roman" w:hAnsi="Times New Roman"/>
      <w:b/>
      <w:sz w:val="20"/>
    </w:rPr>
  </w:style>
  <w:style w:type="character" w:styleId="ListLabel35">
    <w:name w:val="ListLabel 35"/>
    <w:qFormat/>
    <w:rPr>
      <w:rFonts w:ascii="Times New Roman" w:hAnsi="Times New Roman"/>
      <w:b/>
      <w:sz w:val="20"/>
    </w:rPr>
  </w:style>
  <w:style w:type="character" w:styleId="ListLabel36">
    <w:name w:val="ListLabel 36"/>
    <w:qFormat/>
    <w:rPr>
      <w:b/>
      <w:sz w:val="20"/>
    </w:rPr>
  </w:style>
  <w:style w:type="character" w:styleId="ListLabel37">
    <w:name w:val="ListLabel 37"/>
    <w:qFormat/>
    <w:rPr>
      <w:b/>
      <w:sz w:val="20"/>
    </w:rPr>
  </w:style>
  <w:style w:type="character" w:styleId="ListLabel38">
    <w:name w:val="ListLabel 38"/>
    <w:qFormat/>
    <w:rPr>
      <w:b/>
      <w:sz w:val="20"/>
    </w:rPr>
  </w:style>
  <w:style w:type="character" w:styleId="ListLabel39">
    <w:name w:val="ListLabel 39"/>
    <w:qFormat/>
    <w:rPr>
      <w:b/>
      <w:sz w:val="20"/>
    </w:rPr>
  </w:style>
  <w:style w:type="character" w:styleId="ListLabel40">
    <w:name w:val="ListLabel 40"/>
    <w:qFormat/>
    <w:rPr>
      <w:rFonts w:ascii="Times New Roman" w:hAnsi="Times New Roman"/>
      <w:b/>
      <w:sz w:val="20"/>
    </w:rPr>
  </w:style>
  <w:style w:type="character" w:styleId="ListLabel41">
    <w:name w:val="ListLabel 41"/>
    <w:qFormat/>
    <w:rPr>
      <w:rFonts w:ascii="Times New Roman" w:hAnsi="Times New Roman"/>
      <w:b/>
      <w:sz w:val="20"/>
    </w:rPr>
  </w:style>
  <w:style w:type="character" w:styleId="ListLabel42">
    <w:name w:val="ListLabel 42"/>
    <w:qFormat/>
    <w:rPr>
      <w:rFonts w:ascii="Times New Roman" w:hAnsi="Times New Roman"/>
      <w:b/>
      <w:sz w:val="20"/>
    </w:rPr>
  </w:style>
  <w:style w:type="character" w:styleId="ListLabel43">
    <w:name w:val="ListLabel 43"/>
    <w:qFormat/>
    <w:rPr>
      <w:b/>
      <w:sz w:val="20"/>
    </w:rPr>
  </w:style>
  <w:style w:type="character" w:styleId="ListLabel44">
    <w:name w:val="ListLabel 44"/>
    <w:qFormat/>
    <w:rPr>
      <w:b/>
      <w:sz w:val="20"/>
    </w:rPr>
  </w:style>
  <w:style w:type="character" w:styleId="ListLabel45">
    <w:name w:val="ListLabel 45"/>
    <w:qFormat/>
    <w:rPr>
      <w:b/>
      <w:sz w:val="20"/>
    </w:rPr>
  </w:style>
  <w:style w:type="character" w:styleId="ListLabel46">
    <w:name w:val="ListLabel 46"/>
    <w:qFormat/>
    <w:rPr>
      <w:b/>
      <w:sz w:val="20"/>
    </w:rPr>
  </w:style>
  <w:style w:type="character" w:styleId="ListLabel47">
    <w:name w:val="ListLabel 47"/>
    <w:qFormat/>
    <w:rPr>
      <w:rFonts w:ascii="Times New Roman" w:hAnsi="Times New Roman"/>
      <w:b/>
      <w:sz w:val="20"/>
    </w:rPr>
  </w:style>
  <w:style w:type="character" w:styleId="ListLabel48">
    <w:name w:val="ListLabel 48"/>
    <w:qFormat/>
    <w:rPr>
      <w:rFonts w:ascii="Times New Roman" w:hAnsi="Times New Roman"/>
      <w:b/>
      <w:sz w:val="20"/>
    </w:rPr>
  </w:style>
  <w:style w:type="character" w:styleId="ListLabel49">
    <w:name w:val="ListLabel 49"/>
    <w:qFormat/>
    <w:rPr>
      <w:rFonts w:ascii="Times New Roman" w:hAnsi="Times New Roman"/>
      <w:b/>
      <w:sz w:val="20"/>
    </w:rPr>
  </w:style>
  <w:style w:type="character" w:styleId="ListLabel50">
    <w:name w:val="ListLabel 50"/>
    <w:qFormat/>
    <w:rPr>
      <w:b/>
      <w:sz w:val="20"/>
    </w:rPr>
  </w:style>
  <w:style w:type="character" w:styleId="ListLabel51">
    <w:name w:val="ListLabel 51"/>
    <w:qFormat/>
    <w:rPr>
      <w:b/>
      <w:sz w:val="20"/>
    </w:rPr>
  </w:style>
  <w:style w:type="character" w:styleId="ListLabel52">
    <w:name w:val="ListLabel 52"/>
    <w:qFormat/>
    <w:rPr>
      <w:b/>
      <w:sz w:val="20"/>
    </w:rPr>
  </w:style>
  <w:style w:type="character" w:styleId="ListLabel53">
    <w:name w:val="ListLabel 53"/>
    <w:qFormat/>
    <w:rPr>
      <w:b/>
      <w:sz w:val="20"/>
    </w:rPr>
  </w:style>
  <w:style w:type="character" w:styleId="ListLabel54">
    <w:name w:val="ListLabel 54"/>
    <w:qFormat/>
    <w:rPr>
      <w:rFonts w:ascii="Times New Roman" w:hAnsi="Times New Roman"/>
      <w:b/>
      <w:sz w:val="20"/>
    </w:rPr>
  </w:style>
  <w:style w:type="character" w:styleId="ListLabel55">
    <w:name w:val="ListLabel 55"/>
    <w:qFormat/>
    <w:rPr>
      <w:rFonts w:ascii="Times New Roman" w:hAnsi="Times New Roman"/>
      <w:b/>
      <w:sz w:val="20"/>
    </w:rPr>
  </w:style>
  <w:style w:type="character" w:styleId="ListLabel56">
    <w:name w:val="ListLabel 56"/>
    <w:qFormat/>
    <w:rPr>
      <w:rFonts w:ascii="Times New Roman" w:hAnsi="Times New Roman"/>
      <w:b/>
      <w:sz w:val="20"/>
    </w:rPr>
  </w:style>
  <w:style w:type="character" w:styleId="ListLabel57">
    <w:name w:val="ListLabel 57"/>
    <w:qFormat/>
    <w:rPr>
      <w:b/>
      <w:sz w:val="20"/>
    </w:rPr>
  </w:style>
  <w:style w:type="character" w:styleId="ListLabel58">
    <w:name w:val="ListLabel 58"/>
    <w:qFormat/>
    <w:rPr>
      <w:b/>
      <w:sz w:val="20"/>
    </w:rPr>
  </w:style>
  <w:style w:type="character" w:styleId="ListLabel59">
    <w:name w:val="ListLabel 59"/>
    <w:qFormat/>
    <w:rPr>
      <w:b/>
      <w:sz w:val="20"/>
    </w:rPr>
  </w:style>
  <w:style w:type="character" w:styleId="ListLabel60">
    <w:name w:val="ListLabel 60"/>
    <w:qFormat/>
    <w:rPr>
      <w:b/>
      <w:sz w:val="20"/>
    </w:rPr>
  </w:style>
  <w:style w:type="character" w:styleId="ListLabel61">
    <w:name w:val="ListLabel 61"/>
    <w:qFormat/>
    <w:rPr>
      <w:rFonts w:ascii="Times New Roman" w:hAnsi="Times New Roman"/>
      <w:b/>
      <w:sz w:val="20"/>
    </w:rPr>
  </w:style>
  <w:style w:type="character" w:styleId="ListLabel62">
    <w:name w:val="ListLabel 62"/>
    <w:qFormat/>
    <w:rPr>
      <w:rFonts w:ascii="Times New Roman" w:hAnsi="Times New Roman"/>
      <w:b/>
      <w:sz w:val="20"/>
    </w:rPr>
  </w:style>
  <w:style w:type="character" w:styleId="ListLabel63">
    <w:name w:val="ListLabel 63"/>
    <w:qFormat/>
    <w:rPr>
      <w:rFonts w:ascii="Times New Roman" w:hAnsi="Times New Roman"/>
      <w:b/>
      <w:sz w:val="20"/>
    </w:rPr>
  </w:style>
  <w:style w:type="character" w:styleId="ListLabel64">
    <w:name w:val="ListLabel 64"/>
    <w:qFormat/>
    <w:rPr>
      <w:b/>
      <w:sz w:val="20"/>
    </w:rPr>
  </w:style>
  <w:style w:type="character" w:styleId="ListLabel65">
    <w:name w:val="ListLabel 65"/>
    <w:qFormat/>
    <w:rPr>
      <w:b/>
      <w:sz w:val="20"/>
    </w:rPr>
  </w:style>
  <w:style w:type="character" w:styleId="ListLabel66">
    <w:name w:val="ListLabel 66"/>
    <w:qFormat/>
    <w:rPr>
      <w:b/>
      <w:sz w:val="20"/>
    </w:rPr>
  </w:style>
  <w:style w:type="character" w:styleId="ListLabel67">
    <w:name w:val="ListLabel 67"/>
    <w:qFormat/>
    <w:rPr>
      <w:b/>
      <w:sz w:val="20"/>
    </w:rPr>
  </w:style>
  <w:style w:type="character" w:styleId="ListLabel68">
    <w:name w:val="ListLabel 68"/>
    <w:qFormat/>
    <w:rPr>
      <w:rFonts w:ascii="Times New Roman" w:hAnsi="Times New Roman"/>
      <w:b/>
      <w:sz w:val="20"/>
    </w:rPr>
  </w:style>
  <w:style w:type="character" w:styleId="ListLabel69">
    <w:name w:val="ListLabel 69"/>
    <w:qFormat/>
    <w:rPr>
      <w:rFonts w:ascii="Times New Roman" w:hAnsi="Times New Roman"/>
      <w:b/>
      <w:sz w:val="20"/>
    </w:rPr>
  </w:style>
  <w:style w:type="character" w:styleId="ListLabel70">
    <w:name w:val="ListLabel 70"/>
    <w:qFormat/>
    <w:rPr>
      <w:rFonts w:ascii="Times New Roman" w:hAnsi="Times New Roman"/>
      <w:b/>
      <w:sz w:val="20"/>
    </w:rPr>
  </w:style>
  <w:style w:type="character" w:styleId="ListLabel71">
    <w:name w:val="ListLabel 71"/>
    <w:qFormat/>
    <w:rPr>
      <w:b/>
      <w:sz w:val="20"/>
    </w:rPr>
  </w:style>
  <w:style w:type="character" w:styleId="ListLabel72">
    <w:name w:val="ListLabel 72"/>
    <w:qFormat/>
    <w:rPr>
      <w:b/>
      <w:sz w:val="20"/>
    </w:rPr>
  </w:style>
  <w:style w:type="character" w:styleId="ListLabel73">
    <w:name w:val="ListLabel 73"/>
    <w:qFormat/>
    <w:rPr>
      <w:b/>
      <w:sz w:val="20"/>
    </w:rPr>
  </w:style>
  <w:style w:type="character" w:styleId="ListLabel74">
    <w:name w:val="ListLabel 74"/>
    <w:qFormat/>
    <w:rPr>
      <w:b/>
      <w:sz w:val="20"/>
    </w:rPr>
  </w:style>
  <w:style w:type="character" w:styleId="ListLabel75">
    <w:name w:val="ListLabel 75"/>
    <w:qFormat/>
    <w:rPr>
      <w:rFonts w:ascii="Times New Roman" w:hAnsi="Times New Roman"/>
      <w:b/>
      <w:sz w:val="20"/>
    </w:rPr>
  </w:style>
  <w:style w:type="character" w:styleId="ListLabel76">
    <w:name w:val="ListLabel 76"/>
    <w:qFormat/>
    <w:rPr>
      <w:rFonts w:ascii="Times New Roman" w:hAnsi="Times New Roman"/>
      <w:b/>
      <w:sz w:val="20"/>
    </w:rPr>
  </w:style>
  <w:style w:type="character" w:styleId="ListLabel77">
    <w:name w:val="ListLabel 77"/>
    <w:qFormat/>
    <w:rPr>
      <w:rFonts w:ascii="Times New Roman" w:hAnsi="Times New Roman"/>
      <w:b/>
      <w:sz w:val="20"/>
    </w:rPr>
  </w:style>
  <w:style w:type="character" w:styleId="ListLabel78">
    <w:name w:val="ListLabel 78"/>
    <w:qFormat/>
    <w:rPr>
      <w:b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708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LibreOffice/6.0.0.3$Windows_X86_64 LibreOffice_project/64a0f66915f38c6217de274f0aa8e15618924765</Application>
  <Pages>3</Pages>
  <Words>493</Words>
  <Characters>2731</Characters>
  <CharactersWithSpaces>3037</CharactersWithSpaces>
  <Paragraphs>143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2018-10-09T14:22:00Z</dcterms:created>
  <dc:creator>Wojciech Dudzik</dc:creator>
  <dc:description/>
  <dc:language>pl-PL</dc:language>
  <cp:lastModifiedBy/>
  <cp:lastPrinted>2019-03-30T13:47:45Z</cp:lastPrinted>
  <dcterms:modified xsi:type="dcterms:W3CDTF">2019-05-13T09:17:40Z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